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034F" w14:textId="77777777" w:rsidR="000621FF" w:rsidRPr="00D47B0C" w:rsidRDefault="007858ED">
      <w:pPr>
        <w:pStyle w:val="Body"/>
        <w:jc w:val="center"/>
        <w:rPr>
          <w:rFonts w:ascii="Merriweather" w:eastAsia="Merriweather" w:hAnsi="Merriweather" w:cs="Merriweather"/>
          <w:b/>
          <w:bCs/>
          <w:sz w:val="16"/>
          <w:szCs w:val="16"/>
          <w:lang w:val="hr-HR"/>
        </w:rPr>
      </w:pPr>
      <w:r w:rsidRPr="00D47B0C">
        <w:rPr>
          <w:rFonts w:ascii="Merriweather" w:eastAsia="Merriweather" w:hAnsi="Merriweather" w:cs="Merriweather"/>
          <w:b/>
          <w:bCs/>
          <w:sz w:val="16"/>
          <w:szCs w:val="16"/>
          <w:lang w:val="hr-HR"/>
        </w:rPr>
        <w:t>Izvedbeni plan nastave (</w:t>
      </w:r>
      <w:r w:rsidRPr="00D47B0C">
        <w:rPr>
          <w:rFonts w:ascii="Merriweather" w:eastAsia="Merriweather" w:hAnsi="Merriweather" w:cs="Merriweather"/>
          <w:b/>
          <w:bCs/>
          <w:i/>
          <w:iCs/>
          <w:sz w:val="16"/>
          <w:szCs w:val="16"/>
          <w:lang w:val="hr-HR"/>
        </w:rPr>
        <w:t>syllabus</w:t>
      </w:r>
      <w:r w:rsidRPr="00D47B0C">
        <w:rPr>
          <w:rFonts w:ascii="Merriweather" w:eastAsia="Merriweather" w:hAnsi="Merriweather" w:cs="Merriweather"/>
          <w:sz w:val="16"/>
          <w:szCs w:val="16"/>
          <w:vertAlign w:val="superscript"/>
          <w:lang w:val="hr-HR"/>
        </w:rPr>
        <w:footnoteReference w:id="2"/>
      </w:r>
      <w:r w:rsidRPr="00D47B0C">
        <w:rPr>
          <w:rFonts w:ascii="Merriweather" w:eastAsia="Merriweather" w:hAnsi="Merriweather" w:cs="Merriweather"/>
          <w:b/>
          <w:bCs/>
          <w:sz w:val="16"/>
          <w:szCs w:val="16"/>
          <w:lang w:val="hr-HR"/>
        </w:rPr>
        <w:t>)</w:t>
      </w:r>
    </w:p>
    <w:tbl>
      <w:tblPr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9"/>
        <w:gridCol w:w="373"/>
        <w:gridCol w:w="376"/>
        <w:gridCol w:w="214"/>
        <w:gridCol w:w="238"/>
        <w:gridCol w:w="52"/>
        <w:gridCol w:w="144"/>
        <w:gridCol w:w="145"/>
        <w:gridCol w:w="143"/>
        <w:gridCol w:w="146"/>
        <w:gridCol w:w="223"/>
        <w:gridCol w:w="143"/>
        <w:gridCol w:w="328"/>
        <w:gridCol w:w="223"/>
        <w:gridCol w:w="145"/>
        <w:gridCol w:w="144"/>
        <w:gridCol w:w="143"/>
        <w:gridCol w:w="146"/>
        <w:gridCol w:w="392"/>
        <w:gridCol w:w="225"/>
        <w:gridCol w:w="297"/>
        <w:gridCol w:w="198"/>
        <w:gridCol w:w="432"/>
        <w:gridCol w:w="144"/>
        <w:gridCol w:w="145"/>
        <w:gridCol w:w="142"/>
        <w:gridCol w:w="147"/>
        <w:gridCol w:w="199"/>
        <w:gridCol w:w="145"/>
        <w:gridCol w:w="144"/>
        <w:gridCol w:w="144"/>
        <w:gridCol w:w="214"/>
        <w:gridCol w:w="145"/>
        <w:gridCol w:w="998"/>
      </w:tblGrid>
      <w:tr w:rsidR="000621FF" w:rsidRPr="00D47B0C" w14:paraId="4DF19240" w14:textId="77777777" w:rsidTr="00534221">
        <w:trPr>
          <w:trHeight w:val="4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FAB4B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Sastavnica</w:t>
            </w:r>
          </w:p>
        </w:tc>
        <w:tc>
          <w:tcPr>
            <w:tcW w:w="51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1B8F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Odjel za povijest umjetnosti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2972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akad. god.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BD4DA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8"/>
                <w:szCs w:val="18"/>
                <w:lang w:val="hr-HR"/>
              </w:rPr>
              <w:t>2024./2025.</w:t>
            </w:r>
          </w:p>
        </w:tc>
      </w:tr>
      <w:tr w:rsidR="000621FF" w:rsidRPr="00D47B0C" w14:paraId="1CDA93D5" w14:textId="77777777" w:rsidTr="00534221">
        <w:trPr>
          <w:trHeight w:val="2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48009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Naziv kolegija</w:t>
            </w:r>
          </w:p>
        </w:tc>
        <w:tc>
          <w:tcPr>
            <w:tcW w:w="515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AA7E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Vježbe iz teorije suvremene umjetnosti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79B8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ECTS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486F" w14:textId="77777777" w:rsidR="000621FF" w:rsidRPr="00D47B0C" w:rsidRDefault="00534221">
            <w:pPr>
              <w:pStyle w:val="Body"/>
              <w:spacing w:before="20" w:after="20"/>
              <w:jc w:val="center"/>
              <w:rPr>
                <w:lang w:val="hr-HR"/>
              </w:rPr>
            </w:pPr>
            <w:r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4</w:t>
            </w:r>
          </w:p>
        </w:tc>
      </w:tr>
      <w:tr w:rsidR="000621FF" w:rsidRPr="00D47B0C" w14:paraId="6CC5F0A6" w14:textId="77777777" w:rsidTr="00534221">
        <w:trPr>
          <w:trHeight w:val="2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2421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Naziv studija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4BFFB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8"/>
                <w:szCs w:val="18"/>
                <w:lang w:val="hr-HR"/>
              </w:rPr>
              <w:t>Prijediplomski jednopredmetni sveučilišni studij</w:t>
            </w:r>
          </w:p>
        </w:tc>
      </w:tr>
      <w:tr w:rsidR="000621FF" w:rsidRPr="00D47B0C" w14:paraId="6B1CCFA1" w14:textId="77777777" w:rsidTr="00534221">
        <w:trPr>
          <w:trHeight w:val="213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02CD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Razina studija</w:t>
            </w:r>
          </w:p>
        </w:tc>
        <w:tc>
          <w:tcPr>
            <w:tcW w:w="1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1491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preddiplomski 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CAF4" w14:textId="1C1A291C" w:rsidR="000621FF" w:rsidRPr="00D47B0C" w:rsidRDefault="00B202A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B202AD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diplomski</w:t>
            </w: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D48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integrirani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5E7D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poslijediplomski</w:t>
            </w:r>
          </w:p>
        </w:tc>
      </w:tr>
      <w:tr w:rsidR="000621FF" w:rsidRPr="00D47B0C" w14:paraId="653707CD" w14:textId="77777777" w:rsidTr="00534221">
        <w:trPr>
          <w:trHeight w:val="213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4D2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Godina studija</w:t>
            </w: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5345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1.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64C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2.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7C6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3.</w:t>
            </w: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8D61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4.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95C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5.</w:t>
            </w:r>
          </w:p>
        </w:tc>
      </w:tr>
      <w:tr w:rsidR="000621FF" w:rsidRPr="00D47B0C" w14:paraId="6BB2C6F5" w14:textId="77777777" w:rsidTr="00534221">
        <w:trPr>
          <w:trHeight w:val="4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1DC4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Semestar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96F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zimski</w:t>
            </w:r>
          </w:p>
          <w:p w14:paraId="61F11C07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ljetni</w:t>
            </w:r>
          </w:p>
        </w:tc>
        <w:tc>
          <w:tcPr>
            <w:tcW w:w="1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D2F60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I.</w:t>
            </w:r>
          </w:p>
        </w:tc>
        <w:tc>
          <w:tcPr>
            <w:tcW w:w="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793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II.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6995" w14:textId="77777777" w:rsidR="000621FF" w:rsidRPr="00D47B0C" w:rsidRDefault="00534221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534221">
              <w:rPr>
                <w:rFonts w:ascii="Segoe UI Symbol" w:eastAsia="Merriweather" w:hAnsi="Segoe UI Symbol" w:cs="Segoe UI Symbol"/>
                <w:sz w:val="16"/>
                <w:szCs w:val="16"/>
                <w:lang w:val="hr-HR"/>
              </w:rPr>
              <w:t>☐</w:t>
            </w:r>
            <w:r>
              <w:rPr>
                <w:rFonts w:ascii="Segoe UI Symbol" w:eastAsia="Merriweather" w:hAnsi="Segoe UI Symbol" w:cs="Segoe UI Symbol"/>
                <w:sz w:val="16"/>
                <w:szCs w:val="16"/>
                <w:lang w:val="hr-HR"/>
              </w:rPr>
              <w:t xml:space="preserve"> 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III.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45DB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IV.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1BC6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V.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66BB" w14:textId="77777777" w:rsidR="000621FF" w:rsidRPr="00D47B0C" w:rsidRDefault="00534221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534221">
              <w:rPr>
                <w:rFonts w:ascii="Segoe UI Symbol" w:eastAsia="Merriweather" w:hAnsi="Segoe UI Symbol" w:cs="Segoe UI Symbol"/>
                <w:sz w:val="16"/>
                <w:szCs w:val="16"/>
                <w:lang w:val="hr-HR"/>
              </w:rPr>
              <w:t>☒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VI.</w:t>
            </w:r>
          </w:p>
        </w:tc>
      </w:tr>
      <w:tr w:rsidR="000621FF" w:rsidRPr="00D47B0C" w14:paraId="7A0E62AB" w14:textId="77777777" w:rsidTr="00534221">
        <w:trPr>
          <w:trHeight w:val="4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79998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Status kolegija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27F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obvezni kolegij</w:t>
            </w:r>
          </w:p>
        </w:tc>
        <w:tc>
          <w:tcPr>
            <w:tcW w:w="12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6476F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izborni kolegij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F4E3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izborni kolegij koji se nudi studentima drugih odjela</w:t>
            </w:r>
          </w:p>
        </w:tc>
        <w:tc>
          <w:tcPr>
            <w:tcW w:w="1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1BC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Nastavničke kompetencije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E509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DA</w:t>
            </w:r>
          </w:p>
          <w:p w14:paraId="1E45E27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NE</w:t>
            </w:r>
          </w:p>
        </w:tc>
      </w:tr>
      <w:tr w:rsidR="000621FF" w:rsidRPr="00D47B0C" w14:paraId="746BDAB7" w14:textId="77777777" w:rsidTr="00534221">
        <w:trPr>
          <w:trHeight w:val="213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4019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Opterećenje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A9DE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789F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P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56D6" w14:textId="77777777" w:rsidR="000621FF" w:rsidRPr="00534221" w:rsidRDefault="0053422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</w:t>
            </w:r>
            <w:r w:rsidRPr="00534221">
              <w:rPr>
                <w:sz w:val="20"/>
                <w:szCs w:val="20"/>
                <w:lang w:val="hr-HR"/>
              </w:rPr>
              <w:t>0</w:t>
            </w: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818F2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E783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6023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V</w:t>
            </w:r>
          </w:p>
        </w:tc>
        <w:tc>
          <w:tcPr>
            <w:tcW w:w="31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E680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Mrežne stranice kolegija</w:t>
            </w: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706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DA </w:t>
            </w: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NE</w:t>
            </w:r>
          </w:p>
        </w:tc>
      </w:tr>
      <w:tr w:rsidR="000621FF" w:rsidRPr="00D47B0C" w14:paraId="1ADF7B78" w14:textId="77777777" w:rsidTr="00534221">
        <w:trPr>
          <w:trHeight w:val="4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9C82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Mjesto i vrijeme izvođenja nastave</w:t>
            </w:r>
          </w:p>
        </w:tc>
        <w:tc>
          <w:tcPr>
            <w:tcW w:w="25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B1526" w14:textId="77777777" w:rsidR="000621FF" w:rsidRPr="00D47B0C" w:rsidRDefault="007858ED">
            <w:pPr>
              <w:pStyle w:val="Body"/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Dvorana 113, </w:t>
            </w:r>
          </w:p>
          <w:p w14:paraId="3AD71830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SRI 16:00-20:00</w:t>
            </w:r>
          </w:p>
        </w:tc>
        <w:tc>
          <w:tcPr>
            <w:tcW w:w="2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7CAEB" w14:textId="77777777" w:rsidR="000621FF" w:rsidRPr="00D47B0C" w:rsidRDefault="007858ED">
            <w:pPr>
              <w:pStyle w:val="Body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Jezik/jezici na kojima se izvodi kolegij</w:t>
            </w:r>
          </w:p>
        </w:tc>
        <w:tc>
          <w:tcPr>
            <w:tcW w:w="2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07F46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Hrvatski jezik</w:t>
            </w:r>
          </w:p>
        </w:tc>
      </w:tr>
      <w:tr w:rsidR="000621FF" w:rsidRPr="00D47B0C" w14:paraId="02550164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78AC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Početak nastave</w:t>
            </w:r>
          </w:p>
        </w:tc>
        <w:tc>
          <w:tcPr>
            <w:tcW w:w="25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1C4C" w14:textId="77777777" w:rsidR="000621FF" w:rsidRPr="00D47B0C" w:rsidRDefault="00534221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17.2.2025.</w:t>
            </w:r>
          </w:p>
        </w:tc>
        <w:tc>
          <w:tcPr>
            <w:tcW w:w="2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8A3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Završetak nastave</w:t>
            </w:r>
          </w:p>
        </w:tc>
        <w:tc>
          <w:tcPr>
            <w:tcW w:w="2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59EF" w14:textId="77777777" w:rsidR="000621FF" w:rsidRPr="00D47B0C" w:rsidRDefault="00534221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29.5.2025.</w:t>
            </w:r>
          </w:p>
        </w:tc>
      </w:tr>
      <w:tr w:rsidR="000621FF" w:rsidRPr="00D47B0C" w14:paraId="468C5596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0B75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Preduvjeti za upis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4ED6" w14:textId="77777777" w:rsidR="000621FF" w:rsidRPr="00D47B0C" w:rsidRDefault="00D47B0C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Položeni kolegiji za upis treć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e godine studija povijesti umjetnosti</w:t>
            </w:r>
          </w:p>
        </w:tc>
      </w:tr>
      <w:tr w:rsidR="000621FF" w:rsidRPr="00D47B0C" w14:paraId="20FA7CAC" w14:textId="77777777">
        <w:trPr>
          <w:trHeight w:val="21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4046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184BDFF8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91A6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Nositelj kolegija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6BD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izv. prof. dr. sc. Antonija Mlikota</w:t>
            </w:r>
          </w:p>
        </w:tc>
      </w:tr>
      <w:tr w:rsidR="000621FF" w:rsidRPr="00D47B0C" w14:paraId="44707497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E90A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E418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6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amlikota@unizd.hr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 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672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Konzultacije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0155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Dostupno na web stranici Odjela</w:t>
            </w:r>
          </w:p>
        </w:tc>
      </w:tr>
      <w:tr w:rsidR="000621FF" w:rsidRPr="00D47B0C" w14:paraId="1831FBB2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9C99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Izvođač kolegija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67F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Ivana Hanaček, d. p. u.</w:t>
            </w:r>
          </w:p>
        </w:tc>
      </w:tr>
      <w:tr w:rsidR="000621FF" w:rsidRPr="00D47B0C" w14:paraId="6C9DF5E6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9F66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EDAF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7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ihanacek21@unizd.hr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466B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Konzultacije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237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SRI 15:00-16:00</w:t>
            </w:r>
          </w:p>
        </w:tc>
      </w:tr>
      <w:tr w:rsidR="000621FF" w:rsidRPr="00D47B0C" w14:paraId="59F3353A" w14:textId="77777777" w:rsidTr="00534221">
        <w:trPr>
          <w:trHeight w:val="221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73D1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Izvođač kolegija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AC4C2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2A48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FAE7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342A193E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CC95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5A27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64D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Konzultacije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10FA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554BE2D3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31DE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Suradnici na kolegiju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0363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348CE03F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AE37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4D99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A35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Konzultacije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7317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7EE119FD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8EC8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Suradnici na kolegiju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5A7C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2710BBA3" w14:textId="77777777" w:rsidTr="00534221">
        <w:trPr>
          <w:trHeight w:val="2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020A" w14:textId="77777777" w:rsidR="000621FF" w:rsidRPr="00D47B0C" w:rsidRDefault="007858ED">
            <w:pPr>
              <w:pStyle w:val="Body"/>
              <w:spacing w:before="20" w:after="20"/>
              <w:jc w:val="right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E-mail</w:t>
            </w:r>
          </w:p>
        </w:tc>
        <w:tc>
          <w:tcPr>
            <w:tcW w:w="3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E851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251F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Konzultacije</w:t>
            </w:r>
          </w:p>
        </w:tc>
        <w:tc>
          <w:tcPr>
            <w:tcW w:w="2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AEADC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074D9731" w14:textId="77777777">
        <w:trPr>
          <w:trHeight w:val="21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1B28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7B3B51E1" w14:textId="77777777" w:rsidTr="00534221">
        <w:trPr>
          <w:trHeight w:val="427"/>
          <w:jc w:val="center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D51E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Vrste izvođenja nastave</w:t>
            </w: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C11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predavanja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0CA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seminari i radionice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B748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 xml:space="preserve">☒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vježbe</w:t>
            </w: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3382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obrazovanje na daljinu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E6F2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terenska nastava</w:t>
            </w:r>
          </w:p>
        </w:tc>
      </w:tr>
      <w:tr w:rsidR="000621FF" w:rsidRPr="00D47B0C" w14:paraId="54263FAC" w14:textId="77777777" w:rsidTr="00534221">
        <w:trPr>
          <w:trHeight w:val="427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12AB6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594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samostalni zadaci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D54A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multimedija i mreža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5BEB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laboratorij</w:t>
            </w: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35D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mentorski rad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C43EA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ostalo</w:t>
            </w:r>
          </w:p>
        </w:tc>
      </w:tr>
      <w:tr w:rsidR="000621FF" w:rsidRPr="00D47B0C" w14:paraId="7F73480D" w14:textId="77777777" w:rsidTr="00534221">
        <w:trPr>
          <w:trHeight w:val="2730"/>
          <w:jc w:val="center"/>
        </w:trPr>
        <w:tc>
          <w:tcPr>
            <w:tcW w:w="3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9741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lastRenderedPageBreak/>
              <w:t>Ishodi učenja kolegija</w:t>
            </w:r>
          </w:p>
        </w:tc>
        <w:tc>
          <w:tcPr>
            <w:tcW w:w="589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8766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1. Razumjeti kompleksnost predmeta istraživanja u okviru suvremene umjetničke produkcije.</w:t>
            </w:r>
          </w:p>
          <w:p w14:paraId="7093F6F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2. Kompetentno koristiti temeljnu terminologiju teorije umjetnosti u analizi fenomena i umjetničkih praksi suvremene umjetnosti.</w:t>
            </w:r>
          </w:p>
          <w:p w14:paraId="7775FA27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3. Objasniti razliku između različitih teorijskih pristupa predmetu istraživanja suvremene umjetnosti.</w:t>
            </w:r>
          </w:p>
          <w:p w14:paraId="040AB2C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4. Argumentirano zauzeti vlastito stajalište prema metodama i praksama kustoskih studija u polju suvremene umjetnosti.</w:t>
            </w:r>
          </w:p>
          <w:p w14:paraId="2978C1C7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5. Kritički analizirati metode medijacije i diseminacije suvremene umjetnosti.</w:t>
            </w:r>
          </w:p>
          <w:p w14:paraId="18AEA817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6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shd w:val="clear" w:color="auto" w:fill="FFFFFF"/>
                <w:lang w:val="hr-HR"/>
              </w:rPr>
              <w:t>. Kompetentno koristiti različite analogne i digitalne izvore podataka, te proizvesti kraće radove na zadane teme prema svim pravilima pisanja esejističkog teksta.</w:t>
            </w:r>
          </w:p>
        </w:tc>
      </w:tr>
      <w:tr w:rsidR="000621FF" w:rsidRPr="00D47B0C" w14:paraId="35ECCB92" w14:textId="77777777" w:rsidTr="00534221">
        <w:trPr>
          <w:trHeight w:val="4390"/>
          <w:jc w:val="center"/>
        </w:trPr>
        <w:tc>
          <w:tcPr>
            <w:tcW w:w="3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28CA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Ishodi učenja na razini programa</w:t>
            </w:r>
          </w:p>
        </w:tc>
        <w:tc>
          <w:tcPr>
            <w:tcW w:w="589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98FD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1. Steći vještine prepoznavanja, analiziranja i interpretiranja </w:t>
            </w:r>
          </w:p>
          <w:p w14:paraId="14202FBB" w14:textId="77777777" w:rsidR="000621FF" w:rsidRPr="00D47B0C" w:rsidRDefault="002019A1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uvremene umjetnosti te primijeniti stečeno znanje u rješavanju istraživačkih </w:t>
            </w:r>
          </w:p>
          <w:p w14:paraId="31D3DFB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problema u stručnim radovima odgovarajuće složenosti.</w:t>
            </w:r>
          </w:p>
          <w:p w14:paraId="283B487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2. Definirati i razlikovati povijesno</w:t>
            </w:r>
            <w:r w:rsid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-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umjetničke metode analize i interpretacije suvremene umjetnosti na naprednoj razini te znati prepoznati, odabrati i koristiti različite pristupe u metodologiji znanstvenog istraživanja.</w:t>
            </w:r>
          </w:p>
          <w:p w14:paraId="0557481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3. Opisati i preispitati sastavnice umjetničkih djela i pojava i integrirati ih u širi kulturni i društveni kontekst korištenjem prikladnih standardnih i inovativnih metodoloških alata povijesti i teorije umjetnosti.</w:t>
            </w:r>
          </w:p>
          <w:p w14:paraId="007615F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4. Prepoznati, imenovati, objasniti i primijeniti složeniju i uže stručnu povijesno</w:t>
            </w:r>
            <w:r w:rsid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-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umjetničku terminologiju u usmenom i pismenom obliku.</w:t>
            </w:r>
          </w:p>
          <w:p w14:paraId="4D357C9F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5. Demonstrirati primjere različitih normativnih i nenormativnih strategija interpretacije suvremene umjetnosti.</w:t>
            </w:r>
          </w:p>
          <w:p w14:paraId="17FABC1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6. Koristiti različite konceptualne teorijske metode interpretacije i prezentacije umjetničkih djela i pojava.</w:t>
            </w:r>
          </w:p>
          <w:p w14:paraId="090E01D1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7. Izabrati i integrirati sadržaje, metode i terminologiju srodnih disciplina (povijest, arheologija, etnologija, kulturna antropologija, komparativna književnost, estetika, filologija i dr.).</w:t>
            </w:r>
          </w:p>
          <w:p w14:paraId="79686B6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8. Kritički procijeniti i koristiti interdisciplinarne i druge oblike međudisciplinarnih praksi i metoda u okviru vizualne kulture u području društveno-humanističkih znanosti.</w:t>
            </w:r>
          </w:p>
        </w:tc>
      </w:tr>
      <w:tr w:rsidR="000621FF" w:rsidRPr="00D47B0C" w14:paraId="3CC7F7B0" w14:textId="77777777">
        <w:trPr>
          <w:trHeight w:val="210"/>
          <w:jc w:val="center"/>
        </w:trPr>
        <w:tc>
          <w:tcPr>
            <w:tcW w:w="906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7DC6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6021006F" w14:textId="77777777" w:rsidTr="00534221">
        <w:trPr>
          <w:trHeight w:val="427"/>
          <w:jc w:val="center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5DDD9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Načini praćenja studenata</w:t>
            </w: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AF8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pohađanje nastave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7159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priprema za nastavu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39D8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domaće zadaće</w:t>
            </w: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A71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kontinuirana evaluacija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E25E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istraživanje</w:t>
            </w:r>
          </w:p>
        </w:tc>
      </w:tr>
      <w:tr w:rsidR="000621FF" w:rsidRPr="00D47B0C" w14:paraId="05716E65" w14:textId="77777777" w:rsidTr="00534221">
        <w:trPr>
          <w:trHeight w:val="427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A8347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B3CA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praktični rad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2578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eksperimentalni rad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1B8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izlaganje</w:t>
            </w:r>
          </w:p>
        </w:tc>
        <w:tc>
          <w:tcPr>
            <w:tcW w:w="16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EE8EF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projekt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E43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seminar</w:t>
            </w:r>
          </w:p>
        </w:tc>
      </w:tr>
      <w:tr w:rsidR="000621FF" w:rsidRPr="00D47B0C" w14:paraId="4D437D65" w14:textId="77777777" w:rsidTr="00534221">
        <w:trPr>
          <w:trHeight w:val="213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4C173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E51CA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kolokvij(i)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47359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pismeni ispit</w:t>
            </w:r>
          </w:p>
        </w:tc>
        <w:tc>
          <w:tcPr>
            <w:tcW w:w="1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E351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usmeni ispit</w:t>
            </w:r>
          </w:p>
        </w:tc>
        <w:tc>
          <w:tcPr>
            <w:tcW w:w="2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266E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ostalo:</w:t>
            </w:r>
          </w:p>
        </w:tc>
      </w:tr>
      <w:tr w:rsidR="000621FF" w:rsidRPr="00D47B0C" w14:paraId="3C16D688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69BA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Uvjeti pristupanja ispitu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DCD6" w14:textId="77777777" w:rsidR="000621FF" w:rsidRPr="00D47B0C" w:rsidRDefault="007858ED">
            <w:pPr>
              <w:pStyle w:val="Body"/>
              <w:spacing w:before="0" w:after="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Pohađanje nastave, odrađeni seminarski zadaci</w:t>
            </w:r>
          </w:p>
        </w:tc>
      </w:tr>
      <w:tr w:rsidR="000621FF" w:rsidRPr="00D47B0C" w14:paraId="2B814D42" w14:textId="77777777" w:rsidTr="00534221">
        <w:trPr>
          <w:trHeight w:val="213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029C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Ispitni rokovi</w:t>
            </w:r>
          </w:p>
        </w:tc>
        <w:tc>
          <w:tcPr>
            <w:tcW w:w="2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076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zimski ispitni rok </w:t>
            </w:r>
          </w:p>
        </w:tc>
        <w:tc>
          <w:tcPr>
            <w:tcW w:w="2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76A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ljetni ispitni rok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7B2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jesenski ispitni rok</w:t>
            </w:r>
          </w:p>
        </w:tc>
      </w:tr>
      <w:tr w:rsidR="000621FF" w:rsidRPr="00D47B0C" w14:paraId="0F4D47DE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A3A3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Termini ispitnih rokova</w:t>
            </w:r>
          </w:p>
        </w:tc>
        <w:tc>
          <w:tcPr>
            <w:tcW w:w="28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B62B4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8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 xml:space="preserve"> 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67FF7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9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https://pum.unizd.hr/ispitni-termini1</w:t>
              </w:r>
            </w:hyperlink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E1C6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10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https://pum.unizd.hr/ispitni-termini1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</w:p>
        </w:tc>
      </w:tr>
      <w:tr w:rsidR="000621FF" w:rsidRPr="00D47B0C" w14:paraId="66FB3705" w14:textId="77777777" w:rsidTr="00534221">
        <w:trPr>
          <w:trHeight w:val="32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C872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lastRenderedPageBreak/>
              <w:t>Opis kolegija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8B1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Cilj kolegija je upoznati studente s različitim teorijskim i interpretativnim pristupima u analizi suvremene umjetnosti te načinima njezine medijacije i diseminacije. Studente će se upoznati s temeljnim pojmovima teorije umjetnosti koji proizlaze iz raznih smjerova nove povijesti umjetnosti i njezinih pristupa analizi suvremene umjetnosti. Proučavat ćemo socijalnu povijest umjetnosti te utjecaj ključnih teorijskih intervencija u disciplinu, uključujući feminističku kritiku, dekolonijalne diskurse, rodne studije, </w:t>
            </w:r>
            <w:r w:rsidRPr="00D47B0C">
              <w:rPr>
                <w:rFonts w:ascii="Merriweather" w:eastAsia="Merriweather" w:hAnsi="Merriweather" w:cs="Merriweather"/>
                <w:i/>
                <w:sz w:val="16"/>
                <w:szCs w:val="16"/>
                <w:lang w:val="hr-HR"/>
              </w:rPr>
              <w:t>queer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teoriju, globalnu povijest umjetnosti, digitalnu povijest umjetnosti, umjetnost u doba antropocena i ekološke krize. Poseban naglasak bit će stavljen na analizu debata discipline povijesti umjetnosti koje su nastupile nakon "prijeloma" 2000-tih, kako bi studenti upoznali s recentnim diskusijama o suvremenim umjetničkim fenomenima.</w:t>
            </w:r>
          </w:p>
          <w:p w14:paraId="237DBF3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Kolegij će obuhvatiti i analizu kustoskih koncepcija velikih bijenalnih izložbi suvremene umjetnosti, poput Venecijanskog bijenala, Bijenala u São Paulu, Documente u Kasselu i Istanbulske bijenalne izložbe, kao i kustoskih projekata institucija poput TATE Modern, Whitney muzeja, Muzeja moderne i suvremene umjetnosti u Rijeci, Muzeja suvremene umjetnosti u Zagrebu, Museo Reina Sofía, Galerije umjetnina u Zadru, MACB-e, Centre Pompidou i drugih.</w:t>
            </w:r>
          </w:p>
          <w:p w14:paraId="2A1E49A0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Tijekom kolegija studenti će prezentirati samostalna istraživanja suvremenih umjetnosti te ponuditi vlastiti interpretativni narativ utemeljen u teoriji nove povijesti umjetnosti.</w:t>
            </w:r>
          </w:p>
        </w:tc>
      </w:tr>
      <w:tr w:rsidR="000621FF" w:rsidRPr="00D47B0C" w14:paraId="139BE000" w14:textId="77777777" w:rsidTr="00534221">
        <w:trPr>
          <w:trHeight w:val="343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A7FD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Sadržaj kolegija (nastavne teme)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6156" w14:textId="77777777" w:rsidR="000621FF" w:rsidRPr="00D47B0C" w:rsidRDefault="007858ED" w:rsidP="002019A1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UVODNI SAT</w:t>
            </w:r>
          </w:p>
          <w:p w14:paraId="48220492" w14:textId="77777777" w:rsidR="002019A1" w:rsidRPr="00D47B0C" w:rsidRDefault="002019A1" w:rsidP="002019A1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2. Je l' to umjetnost? Avangarde, neoavangarde, transavangarde</w:t>
            </w:r>
          </w:p>
          <w:p w14:paraId="5C163732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3.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Tamna tvar, aktivistička umjetnost i protu</w:t>
            </w:r>
            <w:r w:rsidR="002019A1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javna sfera</w:t>
            </w:r>
          </w:p>
          <w:p w14:paraId="5B50510E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4.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Nemilosrdna estetika: aktivistička umjetnost kao povratak institucionalne kritike</w:t>
            </w:r>
          </w:p>
          <w:p w14:paraId="33426266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5. Da li još uvijek nema velikih umjetnica? Pogled feminističke kritike na suvremenu umjetnost</w:t>
            </w:r>
          </w:p>
          <w:p w14:paraId="14C5B481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6. Dekolonijalnost i Globalni jug u suvremenoj umjetnosti</w:t>
            </w:r>
          </w:p>
          <w:p w14:paraId="7FAA7D58" w14:textId="77777777" w:rsidR="000621FF" w:rsidRPr="00D47B0C" w:rsidRDefault="002019A1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7. Umjetnost u doba antropocena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 ekološke krize</w:t>
            </w:r>
          </w:p>
          <w:p w14:paraId="4A9799EC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8.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Nevolje s rodom: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queer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estetika</w:t>
            </w:r>
          </w:p>
          <w:p w14:paraId="34F8BD70" w14:textId="77777777" w:rsidR="00047F8E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9. Nevolje sa suvremenim umjetničkim tržištem</w:t>
            </w:r>
          </w:p>
          <w:p w14:paraId="45884F33" w14:textId="77777777" w:rsidR="000621FF" w:rsidRPr="00D47B0C" w:rsidRDefault="002019A1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10. Izvođenje seminara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 vježbi</w:t>
            </w:r>
          </w:p>
          <w:p w14:paraId="19532561" w14:textId="77777777" w:rsidR="000621FF" w:rsidRPr="00D47B0C" w:rsidRDefault="00047F8E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11</w:t>
            </w:r>
            <w:r w:rsidR="002019A1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 Izvođenje seminara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 vježbi</w:t>
            </w:r>
          </w:p>
          <w:p w14:paraId="25CDC984" w14:textId="77777777" w:rsidR="000621FF" w:rsidRPr="00D47B0C" w:rsidRDefault="00047F8E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12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</w:t>
            </w: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Rad</w:t>
            </w: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io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nica u Galeriji umjetnina Zadar</w:t>
            </w:r>
          </w:p>
          <w:p w14:paraId="62B8872C" w14:textId="77777777" w:rsidR="000621FF" w:rsidRPr="00D47B0C" w:rsidRDefault="00047F8E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13</w:t>
            </w:r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 Izvođenje seminara i vježbi</w:t>
            </w:r>
          </w:p>
          <w:p w14:paraId="5C2681FE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14.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Izrada pojmovnika suvremene umjetnosti i kritičke teorije</w:t>
            </w:r>
          </w:p>
          <w:p w14:paraId="4C55D366" w14:textId="77777777" w:rsidR="000621FF" w:rsidRPr="00D47B0C" w:rsidRDefault="007858ED">
            <w:pPr>
              <w:pStyle w:val="Body"/>
              <w:tabs>
                <w:tab w:val="left" w:pos="468"/>
              </w:tabs>
              <w:spacing w:before="0" w:after="0"/>
              <w:jc w:val="both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15.</w:t>
            </w:r>
            <w:r w:rsidR="00047F8E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ZAVRŠNI SAT S DISKUSIJOM</w:t>
            </w:r>
          </w:p>
        </w:tc>
      </w:tr>
      <w:tr w:rsidR="000621FF" w:rsidRPr="00D47B0C" w14:paraId="15F8D20B" w14:textId="77777777" w:rsidTr="00534221">
        <w:trPr>
          <w:trHeight w:val="217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21B6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Obvezna literatura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286B" w14:textId="77777777" w:rsidR="000621FF" w:rsidRPr="00D47B0C" w:rsidRDefault="000621FF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</w:p>
          <w:p w14:paraId="5EA280E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1. C. Freeland.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But Is It Art?: An Introduction to Art Theory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 New York: Oxford University Press, 2001.</w:t>
            </w:r>
          </w:p>
          <w:p w14:paraId="1B37739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2. Peter Burger,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Teorija avangarde.</w:t>
            </w:r>
          </w:p>
          <w:p w14:paraId="395A034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3. Gregory Sholette,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Nemilosrdna estetika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 WHW, 2016.</w:t>
            </w:r>
          </w:p>
          <w:p w14:paraId="4D3CA710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4. Gregory Sholette, “Taman tvar”. WHW, 2016.</w:t>
            </w:r>
          </w:p>
          <w:p w14:paraId="2AE1FCB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5. Olu Oguibe,  'In the "Heart of Darkness”, 1993.</w:t>
            </w:r>
          </w:p>
          <w:p w14:paraId="3AA89B2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6.  Bas Hendrikx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, Queer Exhibition Histories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, 2023.</w:t>
            </w:r>
          </w:p>
          <w:p w14:paraId="7155C4A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7. Julian Stallabrass,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Contemporary Art: A Very Short Introduction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, Oxford, 2021. (odabrana poglavlja)</w:t>
            </w:r>
          </w:p>
          <w:p w14:paraId="0265C9B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8. Cynthia Freeland,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Art Theory: A Very Short Introduction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, Oxford, 2005. (odabrana poglavlja)</w:t>
            </w:r>
          </w:p>
        </w:tc>
      </w:tr>
      <w:tr w:rsidR="000621FF" w:rsidRPr="00D47B0C" w14:paraId="05B16889" w14:textId="77777777" w:rsidTr="00534221">
        <w:trPr>
          <w:trHeight w:val="8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B1F0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 xml:space="preserve">Dodatna literatura 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D08A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1. R. S. Nelson / R. Shiff.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Critical Terms of Art History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. Chicago, 2003; </w:t>
            </w:r>
            <w:r w:rsidR="00D47B0C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(I. i II.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poglavlje)</w:t>
            </w:r>
          </w:p>
          <w:p w14:paraId="58E2891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2. L. Schneider Adams.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The Methodologies of Art: An Introduction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 Westview Press, 2009.</w:t>
            </w:r>
            <w:r w:rsidR="00D47B0C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(I. i II.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poglavlje)</w:t>
            </w:r>
          </w:p>
        </w:tc>
      </w:tr>
      <w:tr w:rsidR="000621FF" w:rsidRPr="00D47B0C" w14:paraId="14476928" w14:textId="77777777" w:rsidTr="00534221">
        <w:trPr>
          <w:trHeight w:val="8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FFF4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 xml:space="preserve">Mrežni izvori 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DF3F" w14:textId="77777777" w:rsidR="000621FF" w:rsidRPr="00D47B0C" w:rsidRDefault="00E827F7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hyperlink r:id="rId11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http://www.theartstory.org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, </w:t>
            </w:r>
            <w:hyperlink r:id="rId12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https://arthive.com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;  </w:t>
            </w:r>
            <w:hyperlink r:id="rId13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http://www.arthistoryarchive.com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; </w:t>
            </w:r>
            <w:hyperlink r:id="rId14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http://artchives.fondazionezeri.unibo.it/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; </w:t>
            </w:r>
            <w:hyperlink r:id="rId15" w:history="1">
              <w:r w:rsidR="007858ED" w:rsidRPr="00D47B0C">
                <w:rPr>
                  <w:rStyle w:val="Hyperlink0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https://dahd.hcommons.org/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 </w:t>
            </w:r>
            <w:hyperlink r:id="rId16" w:history="1">
              <w:r w:rsidR="007858ED" w:rsidRPr="00D47B0C">
                <w:rPr>
                  <w:rStyle w:val="Link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https://www.documenta.de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hyperlink r:id="rId17" w:history="1">
              <w:r w:rsidR="007858ED" w:rsidRPr="00D47B0C">
                <w:rPr>
                  <w:rStyle w:val="Link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https://www.tate.org.uk/visit/tate-modern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hyperlink r:id="rId18" w:history="1">
              <w:r w:rsidR="007858ED" w:rsidRPr="00D47B0C">
                <w:rPr>
                  <w:rStyle w:val="Link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https://www.centrepompidou.fr/en/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hyperlink r:id="rId19" w:history="1">
              <w:r w:rsidR="007858ED" w:rsidRPr="00D47B0C">
                <w:rPr>
                  <w:rStyle w:val="Link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https://www.labiennale.org/en</w:t>
              </w:r>
            </w:hyperlink>
            <w:r w:rsidR="007858ED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hyperlink r:id="rId20" w:history="1">
              <w:r w:rsidR="007858ED" w:rsidRPr="00D47B0C">
                <w:rPr>
                  <w:rStyle w:val="Link"/>
                  <w:rFonts w:ascii="Merriweather" w:eastAsia="Merriweather" w:hAnsi="Merriweather" w:cs="Merriweather"/>
                  <w:sz w:val="16"/>
                  <w:szCs w:val="16"/>
                  <w:lang w:val="hr-HR"/>
                </w:rPr>
                <w:t>https://bienal.iksv.org/en</w:t>
              </w:r>
            </w:hyperlink>
          </w:p>
        </w:tc>
      </w:tr>
      <w:tr w:rsidR="000621FF" w:rsidRPr="00D47B0C" w14:paraId="5188B0DA" w14:textId="77777777" w:rsidTr="00534221">
        <w:trPr>
          <w:trHeight w:val="210"/>
          <w:jc w:val="center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D1EA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Provjera ishoda učenja (prema uputama AZVO)</w:t>
            </w:r>
          </w:p>
        </w:tc>
        <w:tc>
          <w:tcPr>
            <w:tcW w:w="57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C23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Samo završni ispit</w:t>
            </w:r>
          </w:p>
        </w:tc>
        <w:tc>
          <w:tcPr>
            <w:tcW w:w="1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B6E1" w14:textId="77777777" w:rsidR="000621FF" w:rsidRPr="00D47B0C" w:rsidRDefault="000621FF">
            <w:pPr>
              <w:rPr>
                <w:lang w:val="hr-HR"/>
              </w:rPr>
            </w:pPr>
          </w:p>
        </w:tc>
      </w:tr>
      <w:tr w:rsidR="000621FF" w:rsidRPr="00D47B0C" w14:paraId="24690A62" w14:textId="77777777" w:rsidTr="00534221">
        <w:trPr>
          <w:trHeight w:val="447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5703E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B437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 xml:space="preserve">☐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završni</w:t>
            </w:r>
          </w:p>
          <w:p w14:paraId="16119CF1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pismeni ispit</w:t>
            </w:r>
          </w:p>
        </w:tc>
        <w:tc>
          <w:tcPr>
            <w:tcW w:w="1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7FE0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 xml:space="preserve">☐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završni</w:t>
            </w:r>
          </w:p>
          <w:p w14:paraId="733C824C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usmeni ispit</w:t>
            </w: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A36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pismeni i usmeni završni ispit</w:t>
            </w:r>
          </w:p>
        </w:tc>
        <w:tc>
          <w:tcPr>
            <w:tcW w:w="1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C0C85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praktični rad i završni ispit</w:t>
            </w:r>
          </w:p>
        </w:tc>
      </w:tr>
      <w:tr w:rsidR="000621FF" w:rsidRPr="00D47B0C" w14:paraId="352E73D1" w14:textId="77777777" w:rsidTr="00534221">
        <w:trPr>
          <w:trHeight w:val="647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C010B0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D2DE5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samo kolokvij/zadaće</w:t>
            </w: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6AB4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kolokvij / zadaća i završni ispit</w:t>
            </w:r>
          </w:p>
        </w:tc>
        <w:tc>
          <w:tcPr>
            <w:tcW w:w="1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644B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seminarski</w:t>
            </w:r>
          </w:p>
          <w:p w14:paraId="294C501D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rad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A2B38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seminarski</w:t>
            </w:r>
          </w:p>
          <w:p w14:paraId="6E48F682" w14:textId="77777777" w:rsidR="000621FF" w:rsidRPr="00D47B0C" w:rsidRDefault="007858ED">
            <w:pPr>
              <w:pStyle w:val="Body"/>
              <w:widowControl w:val="0"/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rad i završni ispit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BA1D" w14:textId="77777777" w:rsidR="000621FF" w:rsidRPr="00D47B0C" w:rsidRDefault="007858ED">
            <w:pPr>
              <w:pStyle w:val="Body"/>
              <w:widowControl w:val="0"/>
              <w:tabs>
                <w:tab w:val="center" w:pos="759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praktični rad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198C4" w14:textId="77777777" w:rsidR="000621FF" w:rsidRPr="00D47B0C" w:rsidRDefault="007858ED">
            <w:pPr>
              <w:pStyle w:val="Body"/>
              <w:widowControl w:val="0"/>
              <w:tabs>
                <w:tab w:val="center" w:pos="759"/>
              </w:tabs>
              <w:spacing w:before="20" w:after="20"/>
              <w:jc w:val="center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drugi oblici</w:t>
            </w:r>
          </w:p>
        </w:tc>
      </w:tr>
      <w:tr w:rsidR="000621FF" w:rsidRPr="00D47B0C" w14:paraId="074E0B54" w14:textId="77777777" w:rsidTr="00534221">
        <w:trPr>
          <w:trHeight w:val="41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EE45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Način formiranja završne ocjene (%)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AA2A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40</w:t>
            </w:r>
            <w:r w:rsidR="00D47B0C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% seminarski rad, 30</w:t>
            </w:r>
            <w:r w:rsidR="00D47B0C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% zadaće, 30</w:t>
            </w:r>
            <w:r w:rsidR="00D47B0C"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% aktivnosti u diskusijama</w:t>
            </w:r>
          </w:p>
        </w:tc>
      </w:tr>
      <w:tr w:rsidR="000621FF" w:rsidRPr="00D47B0C" w14:paraId="7CF5F41E" w14:textId="77777777" w:rsidTr="00534221">
        <w:trPr>
          <w:trHeight w:val="210"/>
          <w:jc w:val="center"/>
        </w:trPr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4D43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Ocjenjivanje kolokvija i završnog ispita (%)</w:t>
            </w: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1E29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0-59%</w:t>
            </w:r>
          </w:p>
        </w:tc>
        <w:tc>
          <w:tcPr>
            <w:tcW w:w="60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DF61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nedovoljan (1)</w:t>
            </w:r>
          </w:p>
        </w:tc>
      </w:tr>
      <w:tr w:rsidR="000621FF" w:rsidRPr="00D47B0C" w14:paraId="08B323DE" w14:textId="77777777" w:rsidTr="00534221">
        <w:trPr>
          <w:trHeight w:val="210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30C1A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3F5D2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60-69%</w:t>
            </w:r>
          </w:p>
        </w:tc>
        <w:tc>
          <w:tcPr>
            <w:tcW w:w="60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51DB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dovoljan (2)</w:t>
            </w:r>
          </w:p>
        </w:tc>
      </w:tr>
      <w:tr w:rsidR="000621FF" w:rsidRPr="00D47B0C" w14:paraId="0F3CFB81" w14:textId="77777777" w:rsidTr="00534221">
        <w:trPr>
          <w:trHeight w:val="210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39EF0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4C3A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70-79%</w:t>
            </w:r>
          </w:p>
        </w:tc>
        <w:tc>
          <w:tcPr>
            <w:tcW w:w="60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549E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dobar (3)</w:t>
            </w:r>
          </w:p>
        </w:tc>
      </w:tr>
      <w:tr w:rsidR="000621FF" w:rsidRPr="00D47B0C" w14:paraId="6EDF5B28" w14:textId="77777777" w:rsidTr="00534221">
        <w:trPr>
          <w:trHeight w:val="210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94FFE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8BBA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80-89%</w:t>
            </w:r>
          </w:p>
        </w:tc>
        <w:tc>
          <w:tcPr>
            <w:tcW w:w="60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5136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vrlo dobar (4)</w:t>
            </w:r>
          </w:p>
        </w:tc>
      </w:tr>
      <w:tr w:rsidR="000621FF" w:rsidRPr="00D47B0C" w14:paraId="3DB94EC3" w14:textId="77777777" w:rsidTr="00534221">
        <w:trPr>
          <w:trHeight w:val="210"/>
          <w:jc w:val="center"/>
        </w:trPr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B905DF" w14:textId="77777777" w:rsidR="000621FF" w:rsidRPr="00D47B0C" w:rsidRDefault="000621FF">
            <w:pPr>
              <w:rPr>
                <w:lang w:val="hr-HR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E4B3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90-100%</w:t>
            </w:r>
          </w:p>
        </w:tc>
        <w:tc>
          <w:tcPr>
            <w:tcW w:w="60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C72B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izvrstan (5)</w:t>
            </w:r>
          </w:p>
        </w:tc>
      </w:tr>
      <w:tr w:rsidR="000621FF" w:rsidRPr="00D47B0C" w14:paraId="444DF08D" w14:textId="77777777" w:rsidTr="00534221">
        <w:trPr>
          <w:trHeight w:val="1159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73D9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Način praćenja kvalitete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F99D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studentska evaluacija nastave na razini Sveučilišta </w:t>
            </w:r>
          </w:p>
          <w:p w14:paraId="0203D53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studentska evaluacija nastave na razini sastavnice</w:t>
            </w:r>
          </w:p>
          <w:p w14:paraId="6816E53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interna evaluacija nastave </w:t>
            </w:r>
          </w:p>
          <w:p w14:paraId="516420B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☒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tematske sjednice stručnih vijeća sastavnica o kvaliteti nastave i rezultatima studentske ankete</w:t>
            </w:r>
          </w:p>
          <w:p w14:paraId="0948AE2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D47B0C">
              <w:rPr>
                <w:rFonts w:ascii="MS Gothic" w:eastAsia="MS Gothic" w:hAnsi="MS Gothic" w:cs="MS Gothic"/>
                <w:sz w:val="16"/>
                <w:szCs w:val="16"/>
                <w:lang w:val="hr-HR"/>
              </w:rPr>
              <w:t>☐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ostalo</w:t>
            </w:r>
          </w:p>
        </w:tc>
      </w:tr>
      <w:tr w:rsidR="000621FF" w:rsidRPr="00D47B0C" w14:paraId="58E0FD9B" w14:textId="77777777" w:rsidTr="00534221">
        <w:trPr>
          <w:trHeight w:val="415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17A7" w14:textId="77777777" w:rsidR="000621FF" w:rsidRPr="00D47B0C" w:rsidRDefault="007858ED">
            <w:pPr>
              <w:pStyle w:val="Body"/>
              <w:spacing w:before="20" w:after="20"/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Napomena / </w:t>
            </w:r>
          </w:p>
          <w:p w14:paraId="3A2257FB" w14:textId="77777777" w:rsidR="000621FF" w:rsidRPr="00D47B0C" w:rsidRDefault="007858ED">
            <w:pPr>
              <w:pStyle w:val="Body"/>
              <w:spacing w:before="20" w:after="20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b/>
                <w:bCs/>
                <w:sz w:val="16"/>
                <w:szCs w:val="16"/>
                <w:lang w:val="hr-HR"/>
              </w:rPr>
              <w:t>Ostalo</w:t>
            </w:r>
          </w:p>
        </w:tc>
        <w:tc>
          <w:tcPr>
            <w:tcW w:w="743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0AD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Sukladno čl. 6.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Etičkog kodeksa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rtl/>
                <w:lang w:val="hr-HR"/>
              </w:rPr>
              <w:t>“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. </w:t>
            </w:r>
          </w:p>
          <w:p w14:paraId="612A4E44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Prema čl. 14. </w:t>
            </w:r>
            <w:r w:rsidRPr="00D47B0C">
              <w:rPr>
                <w:rFonts w:ascii="Merriweather" w:eastAsia="Merriweather" w:hAnsi="Merriweather" w:cs="Merriweather"/>
                <w:i/>
                <w:iCs/>
                <w:sz w:val="16"/>
                <w:szCs w:val="16"/>
                <w:lang w:val="hr-HR"/>
              </w:rPr>
              <w:t>Etičkog kodeksa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14:paraId="2F096C15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Etički je nedopušten svaki čin koji predstavlja povrjedu akademskog poštenja. To uključuje, ali se ne ograničava samo na: </w:t>
            </w:r>
          </w:p>
          <w:p w14:paraId="17843241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588AC2C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rtl/>
                <w:lang w:val="hr-HR"/>
              </w:rPr>
              <w:t>“</w:t>
            </w: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</w:t>
            </w:r>
          </w:p>
          <w:p w14:paraId="2741F58B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1" w:history="1">
              <w:r w:rsidRPr="00D47B0C">
                <w:rPr>
                  <w:rStyle w:val="Hyperlink1"/>
                  <w:sz w:val="16"/>
                  <w:szCs w:val="16"/>
                  <w:lang w:val="hr-HR"/>
                </w:rPr>
                <w:t>Pravilnik o stegovnoj odgovornosti studenata/studentica Sveučilišta u Zadru</w:t>
              </w:r>
            </w:hyperlink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.</w:t>
            </w:r>
          </w:p>
          <w:p w14:paraId="28759C01" w14:textId="77777777" w:rsidR="000621FF" w:rsidRPr="00D47B0C" w:rsidRDefault="000621FF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</w:pPr>
          </w:p>
          <w:p w14:paraId="42EEA948" w14:textId="77777777" w:rsidR="000621FF" w:rsidRPr="00D47B0C" w:rsidRDefault="007858ED">
            <w:pPr>
              <w:pStyle w:val="Body"/>
              <w:tabs>
                <w:tab w:val="left" w:pos="1218"/>
              </w:tabs>
              <w:spacing w:before="20" w:after="20"/>
              <w:jc w:val="both"/>
              <w:rPr>
                <w:lang w:val="hr-HR"/>
              </w:rPr>
            </w:pPr>
            <w:r w:rsidRPr="00D47B0C">
              <w:rPr>
                <w:rFonts w:ascii="Merriweather" w:eastAsia="Merriweather" w:hAnsi="Merriweather" w:cs="Merriweather"/>
                <w:sz w:val="16"/>
                <w:szCs w:val="16"/>
                <w:lang w:val="hr-HR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A6E03F7" w14:textId="77777777" w:rsidR="000621FF" w:rsidRPr="00D47B0C" w:rsidRDefault="000621FF">
      <w:pPr>
        <w:pStyle w:val="Body"/>
        <w:widowControl w:val="0"/>
        <w:jc w:val="center"/>
        <w:rPr>
          <w:lang w:val="hr-HR"/>
        </w:rPr>
      </w:pPr>
    </w:p>
    <w:sectPr w:rsidR="000621FF" w:rsidRPr="00D47B0C">
      <w:headerReference w:type="default" r:id="rId22"/>
      <w:footerReference w:type="default" r:id="rId2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0114" w14:textId="77777777" w:rsidR="00E827F7" w:rsidRDefault="00E827F7">
      <w:r>
        <w:separator/>
      </w:r>
    </w:p>
  </w:endnote>
  <w:endnote w:type="continuationSeparator" w:id="0">
    <w:p w14:paraId="507D7554" w14:textId="77777777" w:rsidR="00E827F7" w:rsidRDefault="00E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F67" w14:textId="77777777" w:rsidR="000621FF" w:rsidRDefault="000621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364D" w14:textId="77777777" w:rsidR="00E827F7" w:rsidRDefault="00E827F7">
      <w:r>
        <w:separator/>
      </w:r>
    </w:p>
  </w:footnote>
  <w:footnote w:type="continuationSeparator" w:id="0">
    <w:p w14:paraId="2BE2F1AF" w14:textId="77777777" w:rsidR="00E827F7" w:rsidRDefault="00E827F7">
      <w:r>
        <w:continuationSeparator/>
      </w:r>
    </w:p>
  </w:footnote>
  <w:footnote w:type="continuationNotice" w:id="1">
    <w:p w14:paraId="13A7866B" w14:textId="77777777" w:rsidR="00E827F7" w:rsidRDefault="00E827F7"/>
  </w:footnote>
  <w:footnote w:id="2">
    <w:p w14:paraId="4A2E9DC1" w14:textId="77777777" w:rsidR="000621FF" w:rsidRDefault="007858ED">
      <w:pPr>
        <w:pStyle w:val="Tekstfusnote"/>
        <w:jc w:val="both"/>
      </w:pPr>
      <w:r>
        <w:rPr>
          <w:rFonts w:ascii="Merriweather" w:eastAsia="Merriweather" w:hAnsi="Merriweather" w:cs="Merriweather"/>
          <w:sz w:val="16"/>
          <w:szCs w:val="16"/>
          <w:vertAlign w:val="superscript"/>
        </w:rPr>
        <w:footnoteRef/>
      </w:r>
      <w:r>
        <w:rPr>
          <w:rFonts w:ascii="Merriweather" w:eastAsia="Merriweather" w:hAnsi="Merriweather" w:cs="Merriweather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83B7" w14:textId="77777777" w:rsidR="000621FF" w:rsidRDefault="007858ED">
    <w:pPr>
      <w:pStyle w:val="Naslov2"/>
      <w:tabs>
        <w:tab w:val="left" w:pos="1418"/>
      </w:tabs>
      <w:spacing w:before="0" w:after="0"/>
      <w:ind w:left="1560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F0979FA" wp14:editId="399953BF">
              <wp:simplePos x="0" y="0"/>
              <wp:positionH relativeFrom="page">
                <wp:posOffset>692149</wp:posOffset>
              </wp:positionH>
              <wp:positionV relativeFrom="page">
                <wp:posOffset>181610</wp:posOffset>
              </wp:positionV>
              <wp:extent cx="1163320" cy="957581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320" cy="9575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6ED8605" w14:textId="77777777" w:rsidR="000621FF" w:rsidRDefault="007858ED">
                          <w:pPr>
                            <w:pStyle w:val="Body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122A9" wp14:editId="534B72B4">
                                <wp:extent cx="724205" cy="782768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4205" cy="7827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4.5pt;margin-top:14.3pt;width:91.6pt;height:75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drawing>
                        <wp:inline distT="0" distB="0" distL="0" distR="0">
                          <wp:extent cx="724205" cy="782768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4205" cy="7827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 w14:paraId="6177D7D9" w14:textId="77777777" w:rsidR="000621FF" w:rsidRDefault="007858ED">
    <w:pPr>
      <w:pStyle w:val="Body"/>
      <w:pBdr>
        <w:bottom w:val="single" w:sz="4" w:space="0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r>
      <w:rPr>
        <w:rFonts w:ascii="Merriweather" w:eastAsia="Merriweather" w:hAnsi="Merriweather" w:cs="Merriweather"/>
        <w:i/>
        <w:iCs/>
        <w:sz w:val="18"/>
        <w:szCs w:val="18"/>
      </w:rPr>
      <w:t>syllabus</w:t>
    </w:r>
    <w:r>
      <w:rPr>
        <w:rFonts w:ascii="Merriweather" w:eastAsia="Merriweather" w:hAnsi="Merriweather" w:cs="Merriweather"/>
        <w:sz w:val="18"/>
        <w:szCs w:val="18"/>
      </w:rPr>
      <w:t>)</w:t>
    </w:r>
  </w:p>
  <w:p w14:paraId="4DA08DE7" w14:textId="77777777" w:rsidR="000621FF" w:rsidRDefault="000621FF">
    <w:pPr>
      <w:pStyle w:val="Zaglavlje"/>
      <w:tabs>
        <w:tab w:val="clear" w:pos="9072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FF"/>
    <w:rsid w:val="00047F8E"/>
    <w:rsid w:val="000621FF"/>
    <w:rsid w:val="002019A1"/>
    <w:rsid w:val="00534221"/>
    <w:rsid w:val="006C3200"/>
    <w:rsid w:val="007858ED"/>
    <w:rsid w:val="00896ADC"/>
    <w:rsid w:val="00B202AD"/>
    <w:rsid w:val="00D47B0C"/>
    <w:rsid w:val="00E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B0F2"/>
  <w15:docId w15:val="{B4F14E18-7F5B-4F65-9DCC-B3B90F18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2">
    <w:name w:val="heading 2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pPr>
      <w:spacing w:before="120" w:after="12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aglavlj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fusnote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Merriweather" w:eastAsia="Merriweather" w:hAnsi="Merriweather" w:cs="Merriweather"/>
      <w:i/>
      <w:iCs/>
      <w:outline w:val="0"/>
      <w:color w:val="000000"/>
      <w:u w:val="single" w:color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9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9A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.unizd.hr/ispitni-termini1" TargetMode="External"/><Relationship Id="rId13" Type="http://schemas.openxmlformats.org/officeDocument/2006/relationships/hyperlink" Target="http://www.arthistoryarchive.com" TargetMode="External"/><Relationship Id="rId18" Type="http://schemas.openxmlformats.org/officeDocument/2006/relationships/hyperlink" Target="https://www.centrepompidou.fr/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zd.hr/Portals/0/doc/doc_pdf_dokumenti/pravilnici/pravilnik_o_stegovnoj_odgovornosti_studenata_20150917.pdf" TargetMode="External"/><Relationship Id="rId7" Type="http://schemas.openxmlformats.org/officeDocument/2006/relationships/hyperlink" Target="mailto:ihanacek21@unizd.hr" TargetMode="External"/><Relationship Id="rId12" Type="http://schemas.openxmlformats.org/officeDocument/2006/relationships/hyperlink" Target="https://arthive.com" TargetMode="External"/><Relationship Id="rId17" Type="http://schemas.openxmlformats.org/officeDocument/2006/relationships/hyperlink" Target="https://www.tate.org.uk/visit/tate-moder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ocumenta.de" TargetMode="External"/><Relationship Id="rId20" Type="http://schemas.openxmlformats.org/officeDocument/2006/relationships/hyperlink" Target="https://bienal.iksv.org/en" TargetMode="External"/><Relationship Id="rId1" Type="http://schemas.openxmlformats.org/officeDocument/2006/relationships/styles" Target="styles.xml"/><Relationship Id="rId6" Type="http://schemas.openxmlformats.org/officeDocument/2006/relationships/hyperlink" Target="mailto:ihanacek21@unizd.hr" TargetMode="External"/><Relationship Id="rId11" Type="http://schemas.openxmlformats.org/officeDocument/2006/relationships/hyperlink" Target="http://www.theartstory.or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ahd.hcommons.or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um.unizd.hr/ispitni-termini1" TargetMode="External"/><Relationship Id="rId19" Type="http://schemas.openxmlformats.org/officeDocument/2006/relationships/hyperlink" Target="https://www.labiennale.org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m.unizd.hr/ispitni-termini1" TargetMode="External"/><Relationship Id="rId14" Type="http://schemas.openxmlformats.org/officeDocument/2006/relationships/hyperlink" Target="http://artchives.fondazionezeri.unibo.it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ihanacek21@unizd.hr</dc:creator>
  <cp:lastModifiedBy>Dora Štublin</cp:lastModifiedBy>
  <cp:revision>3</cp:revision>
  <cp:lastPrinted>2025-02-14T14:48:00Z</cp:lastPrinted>
  <dcterms:created xsi:type="dcterms:W3CDTF">2025-02-19T14:27:00Z</dcterms:created>
  <dcterms:modified xsi:type="dcterms:W3CDTF">2025-02-22T12:20:00Z</dcterms:modified>
</cp:coreProperties>
</file>